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383" w:lineRule="auto"/>
        <w:ind w:right="104"/>
        <w:jc w:val="center"/>
        <w:rPr>
          <w:rFonts w:hint="eastAsia" w:ascii="宋体" w:hAnsi="宋体" w:eastAsia="宋体" w:cs="宋体"/>
          <w:spacing w:val="13"/>
          <w:sz w:val="28"/>
          <w:szCs w:val="28"/>
          <w14:textOutline w14:w="5724" w14:cap="flat" w14:cmpd="sng">
            <w14:solidFill>
              <w14:srgbClr w14:val="000000"/>
            </w14:solidFill>
            <w14:prstDash w14:val="solid"/>
            <w14:miter w14:val="0"/>
          </w14:textOutline>
        </w:rPr>
      </w:pPr>
      <w:r>
        <w:rPr>
          <w:rFonts w:hint="eastAsia" w:ascii="宋体" w:hAnsi="宋体" w:eastAsia="宋体" w:cs="宋体"/>
          <w:spacing w:val="18"/>
          <w:sz w:val="28"/>
          <w:szCs w:val="28"/>
          <w14:textOutline w14:w="5724" w14:cap="flat" w14:cmpd="sng">
            <w14:solidFill>
              <w14:srgbClr w14:val="000000"/>
            </w14:solidFill>
            <w14:prstDash w14:val="solid"/>
            <w14:miter w14:val="0"/>
          </w14:textOutline>
        </w:rPr>
        <w:t>第十</w:t>
      </w:r>
      <w:r>
        <w:rPr>
          <w:rFonts w:hint="eastAsia" w:ascii="宋体" w:hAnsi="宋体" w:eastAsia="宋体" w:cs="宋体"/>
          <w:spacing w:val="18"/>
          <w:sz w:val="28"/>
          <w:szCs w:val="28"/>
          <w:lang w:val="en-US" w:eastAsia="zh-CN"/>
          <w14:textOutline w14:w="5724" w14:cap="flat" w14:cmpd="sng">
            <w14:solidFill>
              <w14:srgbClr w14:val="000000"/>
            </w14:solidFill>
            <w14:prstDash w14:val="solid"/>
            <w14:miter w14:val="0"/>
          </w14:textOutline>
        </w:rPr>
        <w:t>四</w:t>
      </w:r>
      <w:r>
        <w:rPr>
          <w:rFonts w:hint="eastAsia" w:ascii="宋体" w:hAnsi="宋体" w:eastAsia="宋体" w:cs="宋体"/>
          <w:spacing w:val="18"/>
          <w:sz w:val="28"/>
          <w:szCs w:val="28"/>
          <w14:textOutline w14:w="5724" w14:cap="flat" w14:cmpd="sng">
            <w14:solidFill>
              <w14:srgbClr w14:val="000000"/>
            </w14:solidFill>
            <w14:prstDash w14:val="solid"/>
            <w14:miter w14:val="0"/>
          </w14:textOutline>
        </w:rPr>
        <w:t>届全国大学生电子商务</w:t>
      </w:r>
      <w:r>
        <w:rPr>
          <w:rFonts w:hint="eastAsia" w:ascii="宋体" w:hAnsi="宋体" w:eastAsia="宋体" w:cs="宋体"/>
          <w:b/>
          <w:bCs/>
          <w:spacing w:val="18"/>
          <w:sz w:val="28"/>
          <w:szCs w:val="28"/>
        </w:rPr>
        <w:t>“</w:t>
      </w:r>
      <w:r>
        <w:rPr>
          <w:rFonts w:hint="eastAsia" w:ascii="宋体" w:hAnsi="宋体" w:eastAsia="宋体" w:cs="宋体"/>
          <w:spacing w:val="18"/>
          <w:sz w:val="28"/>
          <w:szCs w:val="28"/>
          <w14:textOutline w14:w="5724" w14:cap="flat" w14:cmpd="sng">
            <w14:solidFill>
              <w14:srgbClr w14:val="000000"/>
            </w14:solidFill>
            <w14:prstDash w14:val="solid"/>
            <w14:miter w14:val="0"/>
          </w14:textOutline>
        </w:rPr>
        <w:t>创新、创意及创业</w:t>
      </w:r>
      <w:r>
        <w:rPr>
          <w:rFonts w:hint="eastAsia" w:ascii="宋体" w:hAnsi="宋体" w:eastAsia="宋体" w:cs="宋体"/>
          <w:b/>
          <w:bCs/>
          <w:spacing w:val="18"/>
          <w:sz w:val="28"/>
          <w:szCs w:val="28"/>
        </w:rPr>
        <w:t>”</w:t>
      </w:r>
      <w:r>
        <w:rPr>
          <w:rFonts w:hint="eastAsia" w:ascii="宋体" w:hAnsi="宋体" w:eastAsia="宋体" w:cs="宋体"/>
          <w:spacing w:val="18"/>
          <w:sz w:val="28"/>
          <w:szCs w:val="28"/>
          <w14:textOutline w14:w="5724" w14:cap="flat" w14:cmpd="sng">
            <w14:solidFill>
              <w14:srgbClr w14:val="000000"/>
            </w14:solidFill>
            <w14:prstDash w14:val="solid"/>
            <w14:miter w14:val="0"/>
          </w14:textOutline>
        </w:rPr>
        <w:t>挑战</w:t>
      </w:r>
      <w:r>
        <w:rPr>
          <w:rFonts w:hint="eastAsia" w:ascii="宋体" w:hAnsi="宋体" w:eastAsia="宋体" w:cs="宋体"/>
          <w:spacing w:val="13"/>
          <w:sz w:val="28"/>
          <w:szCs w:val="28"/>
          <w14:textOutline w14:w="5724" w14:cap="flat" w14:cmpd="sng">
            <w14:solidFill>
              <w14:srgbClr w14:val="000000"/>
            </w14:solidFill>
            <w14:prstDash w14:val="solid"/>
            <w14:miter w14:val="0"/>
          </w14:textOutline>
        </w:rPr>
        <w:t>赛</w:t>
      </w:r>
    </w:p>
    <w:p>
      <w:pPr>
        <w:spacing w:before="101" w:line="383" w:lineRule="auto"/>
        <w:ind w:right="104"/>
        <w:jc w:val="center"/>
        <w:rPr>
          <w:rFonts w:ascii="Arial"/>
          <w:sz w:val="28"/>
          <w:szCs w:val="28"/>
        </w:rPr>
      </w:pPr>
      <w:r>
        <w:rPr>
          <w:rFonts w:hint="eastAsia" w:ascii="宋体" w:hAnsi="宋体" w:eastAsia="宋体" w:cs="宋体"/>
          <w:b/>
          <w:bCs/>
          <w:spacing w:val="18"/>
          <w:sz w:val="28"/>
          <w:szCs w:val="28"/>
        </w:rPr>
        <w:t>*</w:t>
      </w:r>
      <w:r>
        <w:rPr>
          <w:rFonts w:hint="eastAsia" w:ascii="宋体" w:hAnsi="宋体" w:eastAsia="宋体" w:cs="宋体"/>
          <w:b/>
          <w:bCs/>
          <w:spacing w:val="12"/>
          <w:sz w:val="28"/>
          <w:szCs w:val="28"/>
        </w:rPr>
        <w:t>*</w:t>
      </w:r>
      <w:r>
        <w:rPr>
          <w:rFonts w:hint="eastAsia" w:ascii="宋体" w:hAnsi="宋体" w:eastAsia="宋体" w:cs="宋体"/>
          <w:spacing w:val="12"/>
          <w:sz w:val="28"/>
          <w:szCs w:val="28"/>
          <w14:textOutline w14:w="5724" w14:cap="flat" w14:cmpd="sng">
            <w14:solidFill>
              <w14:srgbClr w14:val="000000"/>
            </w14:solidFill>
            <w14:prstDash w14:val="solid"/>
            <w14:miter w14:val="0"/>
          </w14:textOutline>
        </w:rPr>
        <w:t>赛区省级选拔赛计划书</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1" w:lineRule="auto"/>
        <w:ind w:left="45"/>
        <w:textAlignment w:val="baseline"/>
        <w:outlineLvl w:val="0"/>
        <w:rPr>
          <w:rFonts w:ascii="宋体" w:hAnsi="宋体" w:eastAsia="宋体" w:cs="宋体"/>
          <w:sz w:val="28"/>
          <w:szCs w:val="28"/>
        </w:rPr>
      </w:pPr>
      <w:r>
        <w:rPr>
          <w:rFonts w:ascii="宋体" w:hAnsi="宋体" w:eastAsia="宋体" w:cs="宋体"/>
          <w:spacing w:val="4"/>
          <w:sz w:val="28"/>
          <w:szCs w:val="28"/>
          <w14:textOutline w14:w="5451" w14:cap="flat" w14:cmpd="sng">
            <w14:solidFill>
              <w14:srgbClr w14:val="000000"/>
            </w14:solidFill>
            <w14:prstDash w14:val="solid"/>
            <w14:miter w14:val="0"/>
          </w14:textOutline>
        </w:rPr>
        <w:t>一、竞</w:t>
      </w:r>
      <w:r>
        <w:rPr>
          <w:rFonts w:ascii="宋体" w:hAnsi="宋体" w:eastAsia="宋体" w:cs="宋体"/>
          <w:spacing w:val="3"/>
          <w:sz w:val="28"/>
          <w:szCs w:val="28"/>
          <w14:textOutline w14:w="5451" w14:cap="flat" w14:cmpd="sng">
            <w14:solidFill>
              <w14:srgbClr w14:val="000000"/>
            </w14:solidFill>
            <w14:prstDash w14:val="solid"/>
            <w14:miter w14:val="0"/>
          </w14:textOutline>
        </w:rPr>
        <w:t>赛</w:t>
      </w:r>
      <w:r>
        <w:rPr>
          <w:rFonts w:ascii="宋体" w:hAnsi="宋体" w:eastAsia="宋体" w:cs="宋体"/>
          <w:spacing w:val="2"/>
          <w:sz w:val="28"/>
          <w:szCs w:val="28"/>
          <w14:textOutline w14:w="5451" w14:cap="flat" w14:cmpd="sng">
            <w14:solidFill>
              <w14:srgbClr w14:val="000000"/>
            </w14:solidFill>
            <w14:prstDash w14:val="solid"/>
            <w14:miter w14:val="0"/>
          </w14:textOutline>
        </w:rPr>
        <w:t>组织</w:t>
      </w:r>
      <w:r>
        <w:rPr>
          <w:rFonts w:hint="eastAsia" w:ascii="宋体" w:hAnsi="宋体" w:eastAsia="宋体" w:cs="宋体"/>
          <w:spacing w:val="2"/>
          <w:sz w:val="28"/>
          <w:szCs w:val="28"/>
          <w:lang w:eastAsia="zh-CN"/>
        </w:rPr>
        <w:t>（</w:t>
      </w:r>
      <w:r>
        <w:rPr>
          <w:rFonts w:ascii="宋体" w:hAnsi="宋体" w:eastAsia="宋体" w:cs="宋体"/>
          <w:spacing w:val="2"/>
          <w:sz w:val="28"/>
          <w:szCs w:val="28"/>
          <w14:textOutline w14:w="5451" w14:cap="flat" w14:cmpd="sng">
            <w14:solidFill>
              <w14:srgbClr w14:val="000000"/>
            </w14:solidFill>
            <w14:prstDash w14:val="solid"/>
            <w14:miter w14:val="0"/>
          </w14:textOutline>
        </w:rPr>
        <w:t>根据实际情况填写</w:t>
      </w:r>
      <w:r>
        <w:rPr>
          <w:rFonts w:hint="eastAsia" w:ascii="宋体" w:hAnsi="宋体" w:eastAsia="宋体" w:cs="宋体"/>
          <w:spacing w:val="2"/>
          <w:sz w:val="28"/>
          <w:szCs w:val="28"/>
          <w:lang w:eastAsia="zh-CN"/>
          <w14:textOutline w14:w="5451"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2"/>
        <w:textAlignment w:val="baseline"/>
        <w:rPr>
          <w:rFonts w:hint="eastAsia" w:ascii="宋体" w:hAnsi="宋体" w:eastAsia="宋体" w:cs="宋体"/>
          <w:spacing w:val="-12"/>
          <w:sz w:val="24"/>
          <w:szCs w:val="24"/>
          <w:lang w:val="en-US" w:eastAsia="zh-CN"/>
        </w:rPr>
      </w:pPr>
      <w:r>
        <w:rPr>
          <w:rFonts w:ascii="宋体" w:hAnsi="宋体" w:eastAsia="宋体" w:cs="宋体"/>
          <w:spacing w:val="-12"/>
          <w:sz w:val="24"/>
          <w:szCs w:val="24"/>
        </w:rPr>
        <w:t>主</w:t>
      </w:r>
      <w:r>
        <w:rPr>
          <w:rFonts w:ascii="宋体" w:hAnsi="宋体" w:eastAsia="宋体" w:cs="宋体"/>
          <w:spacing w:val="-6"/>
          <w:sz w:val="24"/>
          <w:szCs w:val="24"/>
        </w:rPr>
        <w:t>办单位：</w:t>
      </w:r>
      <w:r>
        <w:rPr>
          <w:rFonts w:hint="eastAsia" w:ascii="宋体" w:hAnsi="宋体" w:eastAsia="宋体" w:cs="宋体"/>
          <w:spacing w:val="-6"/>
          <w:sz w:val="24"/>
          <w:szCs w:val="24"/>
          <w:lang w:eastAsia="zh-CN"/>
        </w:rPr>
        <w:t>第十四届</w:t>
      </w:r>
      <w:r>
        <w:rPr>
          <w:rFonts w:hint="eastAsia" w:ascii="宋体" w:hAnsi="宋体" w:eastAsia="宋体" w:cs="宋体"/>
          <w:spacing w:val="-12"/>
          <w:sz w:val="24"/>
          <w:szCs w:val="24"/>
          <w:lang w:val="en-US" w:eastAsia="zh-CN"/>
        </w:rPr>
        <w:t>全国大学生电子商务“创新、创意及创业”挑战赛</w:t>
      </w:r>
      <w:bookmarkStart w:id="0" w:name="_GoBack"/>
      <w:bookmarkEnd w:id="0"/>
      <w:r>
        <w:rPr>
          <w:rFonts w:hint="eastAsia" w:ascii="宋体" w:hAnsi="宋体" w:eastAsia="宋体" w:cs="宋体"/>
          <w:spacing w:val="-12"/>
          <w:sz w:val="24"/>
          <w:szCs w:val="24"/>
          <w:lang w:val="en-US" w:eastAsia="zh-CN"/>
        </w:rPr>
        <w:t>组委会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承办单位：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冠名单位：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协办单位：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赞助单位：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ascii="宋体" w:hAnsi="宋体" w:eastAsia="宋体" w:cs="宋体"/>
          <w:spacing w:val="-12"/>
          <w:sz w:val="24"/>
          <w:szCs w:val="24"/>
        </w:rPr>
      </w:pPr>
      <w:r>
        <w:rPr>
          <w:rFonts w:hint="eastAsia" w:ascii="宋体" w:hAnsi="宋体" w:eastAsia="宋体" w:cs="宋体"/>
          <w:spacing w:val="-12"/>
          <w:sz w:val="24"/>
          <w:szCs w:val="24"/>
          <w:lang w:val="en-US" w:eastAsia="zh-CN"/>
        </w:rPr>
        <w:t>本省级赛</w:t>
      </w:r>
      <w:r>
        <w:rPr>
          <w:rFonts w:ascii="宋体" w:hAnsi="宋体" w:eastAsia="宋体" w:cs="宋体"/>
          <w:spacing w:val="-12"/>
          <w:sz w:val="24"/>
          <w:szCs w:val="24"/>
        </w:rPr>
        <w:t>竞赛组织委员会</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应该联系本省级教育厅、商务厅等政府部门，联系本省级有电子商务的各所高校以及参加本次省级赛的各个院校的领导、专家，积极联系以本省级为主的电子商务主要企业组成本省级赛组委会）</w:t>
      </w:r>
      <w:r>
        <w:rPr>
          <w:rFonts w:ascii="宋体" w:hAnsi="宋体" w:eastAsia="宋体" w:cs="宋体"/>
          <w:spacing w:val="-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rPr>
        <w:t>1.</w:t>
      </w:r>
      <w:r>
        <w:rPr>
          <w:rFonts w:ascii="宋体" w:hAnsi="宋体" w:eastAsia="宋体" w:cs="宋体"/>
          <w:spacing w:val="-12"/>
          <w:sz w:val="24"/>
          <w:szCs w:val="24"/>
        </w:rPr>
        <w:t>领导班子</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应该有本省级的政府领导、高校领导和企业界领导）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2.专家委员会（本省级赛的评委专家组、纪检组、仲裁组等）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w:t>
      </w:r>
      <w:r>
        <w:rPr>
          <w:rFonts w:ascii="宋体" w:hAnsi="宋体" w:eastAsia="宋体" w:cs="宋体"/>
          <w:spacing w:val="-12"/>
          <w:sz w:val="24"/>
          <w:szCs w:val="24"/>
        </w:rPr>
        <w:t>竞赛秘书处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以本校职能部门和相关院系为主构建秘书处）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应该设立竞赛组、后勤组、宣传组等工作组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5"/>
        <w:textAlignment w:val="baseline"/>
        <w:rPr>
          <w:rFonts w:ascii="宋体" w:hAnsi="宋体" w:eastAsia="宋体" w:cs="宋体"/>
          <w:sz w:val="24"/>
          <w:szCs w:val="24"/>
        </w:rPr>
      </w:pPr>
      <w:r>
        <w:rPr>
          <w:rFonts w:ascii="宋体" w:hAnsi="宋体" w:eastAsia="宋体" w:cs="宋体"/>
          <w:spacing w:val="-2"/>
          <w:sz w:val="24"/>
          <w:szCs w:val="24"/>
        </w:rPr>
        <w:t>大</w:t>
      </w:r>
      <w:r>
        <w:rPr>
          <w:rFonts w:ascii="宋体" w:hAnsi="宋体" w:eastAsia="宋体" w:cs="宋体"/>
          <w:spacing w:val="-1"/>
          <w:sz w:val="24"/>
          <w:szCs w:val="24"/>
        </w:rPr>
        <w:t>赛主题：</w:t>
      </w:r>
      <w:r>
        <w:rPr>
          <w:rFonts w:hint="eastAsia" w:ascii="宋体" w:hAnsi="宋体" w:eastAsia="宋体" w:cs="宋体"/>
          <w:spacing w:val="-1"/>
          <w:sz w:val="24"/>
          <w:szCs w:val="24"/>
          <w:lang w:eastAsia="zh-CN"/>
        </w:rPr>
        <w:t>（</w:t>
      </w:r>
      <w:r>
        <w:rPr>
          <w:rFonts w:ascii="宋体" w:hAnsi="宋体" w:eastAsia="宋体" w:cs="宋体"/>
          <w:spacing w:val="-1"/>
          <w:sz w:val="24"/>
          <w:szCs w:val="24"/>
        </w:rPr>
        <w:t>可选填</w:t>
      </w:r>
      <w:r>
        <w:rPr>
          <w:rFonts w:hint="eastAsia" w:ascii="宋体" w:hAnsi="宋体" w:eastAsia="宋体" w:cs="宋体"/>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1" w:lineRule="auto"/>
        <w:ind w:left="45"/>
        <w:textAlignment w:val="baseline"/>
        <w:outlineLvl w:val="0"/>
        <w:rPr>
          <w:rFonts w:ascii="宋体" w:hAnsi="宋体" w:eastAsia="宋体" w:cs="宋体"/>
          <w:spacing w:val="4"/>
          <w:sz w:val="28"/>
          <w:szCs w:val="28"/>
          <w14:textOutline w14:w="5451" w14:cap="flat" w14:cmpd="sng">
            <w14:solidFill>
              <w14:srgbClr w14:val="000000"/>
            </w14:solidFill>
            <w14:prstDash w14:val="solid"/>
            <w14:miter w14:val="0"/>
          </w14:textOutline>
        </w:rPr>
      </w:pPr>
      <w:r>
        <w:rPr>
          <w:rFonts w:ascii="宋体" w:hAnsi="宋体" w:eastAsia="宋体" w:cs="宋体"/>
          <w:spacing w:val="4"/>
          <w:sz w:val="28"/>
          <w:szCs w:val="28"/>
          <w14:textOutline w14:w="5451" w14:cap="flat" w14:cmpd="sng">
            <w14:solidFill>
              <w14:srgbClr w14:val="000000"/>
            </w14:solidFill>
            <w14:prstDash w14:val="solid"/>
            <w14:miter w14:val="0"/>
          </w14:textOutline>
        </w:rPr>
        <w:t>二、竞赛实施方案</w:t>
      </w:r>
    </w:p>
    <w:p>
      <w:pPr>
        <w:keepNext w:val="0"/>
        <w:keepLines w:val="0"/>
        <w:pageBreakBefore w:val="0"/>
        <w:widowControl/>
        <w:kinsoku w:val="0"/>
        <w:wordWrap/>
        <w:overflowPunct/>
        <w:topLinePunct w:val="0"/>
        <w:autoSpaceDE w:val="0"/>
        <w:autoSpaceDN w:val="0"/>
        <w:bidi w:val="0"/>
        <w:adjustRightInd w:val="0"/>
        <w:snapToGrid w:val="0"/>
        <w:spacing w:after="0" w:afterLines="50"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1.把握原则：省级赛组委会工作严格按照《规则》开展。 </w:t>
      </w:r>
    </w:p>
    <w:p>
      <w:pPr>
        <w:keepNext w:val="0"/>
        <w:keepLines w:val="0"/>
        <w:pageBreakBefore w:val="0"/>
        <w:widowControl/>
        <w:kinsoku w:val="0"/>
        <w:wordWrap/>
        <w:overflowPunct/>
        <w:topLinePunct w:val="0"/>
        <w:autoSpaceDE w:val="0"/>
        <w:autoSpaceDN w:val="0"/>
        <w:bidi w:val="0"/>
        <w:adjustRightInd w:val="0"/>
        <w:snapToGrid w:val="0"/>
        <w:spacing w:after="0" w:afterLines="50"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2.省赛竞赛方式及时间、地点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（1）竞赛方式：纯线下（)；线下+线上（)；【括号中打√】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注：省级赛只采用以上两种方式，都必须按照团队8分钟演讲+评委7分钟问答的比赛规则执行。没有特殊情况，都应在线下举办竞赛。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（2）竞赛时间和地点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73" w:firstLineChars="3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1）小组赛比赛时间：（        )  地点：（       )  分组数：（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73" w:firstLineChars="3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2）终极赛比赛时间：（        )  地点：（       )</w:t>
      </w:r>
    </w:p>
    <w:p>
      <w:pPr>
        <w:keepNext w:val="0"/>
        <w:keepLines w:val="0"/>
        <w:pageBreakBefore w:val="0"/>
        <w:widowControl/>
        <w:kinsoku w:val="0"/>
        <w:wordWrap/>
        <w:overflowPunct/>
        <w:topLinePunct w:val="0"/>
        <w:autoSpaceDE w:val="0"/>
        <w:autoSpaceDN w:val="0"/>
        <w:bidi w:val="0"/>
        <w:adjustRightInd w:val="0"/>
        <w:snapToGrid w:val="0"/>
        <w:spacing w:after="0" w:afterLines="50"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3.省赛入围团队数及获奖数实施方案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（1）常规赛晋级省赛团队数及获奖数按大赛规则执行。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（2）实战赛晋级省赛团队数及获奖方案如下：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1）首先按该省有效实战赛校赛数与有效常规赛校赛数的比例给出该省实战赛晋级省赛的总数；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2）省级赛实战赛的分组，原则上也应该在20支团队左右，可适当扩大省级赛实战赛的团队总数；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3）在给学校分配实战赛团队数时，原则上按细分赛事分配晋级团队的数目。如果该校实战赛参赛团队比较分散，可以考虑对细分赛事横向比较，校赛创分成绩高的团队优先；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4）对单一实战赛达到20支团队左右的小组应当按比例设置特、一、二等级奖和单项奖；除此可根据各单项实战赛的团队数额考虑适当的等级奖和单项奖。</w:t>
      </w:r>
    </w:p>
    <w:p>
      <w:pPr>
        <w:keepNext w:val="0"/>
        <w:keepLines w:val="0"/>
        <w:pageBreakBefore w:val="0"/>
        <w:widowControl/>
        <w:kinsoku w:val="0"/>
        <w:wordWrap/>
        <w:overflowPunct/>
        <w:topLinePunct w:val="0"/>
        <w:autoSpaceDE w:val="0"/>
        <w:autoSpaceDN w:val="0"/>
        <w:bidi w:val="0"/>
        <w:adjustRightInd w:val="0"/>
        <w:snapToGrid w:val="0"/>
        <w:spacing w:after="0" w:afterLines="50" w:line="360" w:lineRule="auto"/>
        <w:ind w:left="0" w:leftChars="0" w:firstLine="457" w:firstLineChars="212"/>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4.赛区具体数据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（1）全省所有高校校赛有效团队数：（  )，其中：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常规赛校赛有效团队数：（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跨境电商实战赛校赛有效团队数：（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乡村振兴实战赛校赛有效团队数：（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产学用（BUC）实战赛校赛有效团队数：（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商务大数据分析实战赛校赛有效团队数：（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直播电商实战赛校赛有效团队数：（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（2）晋级省赛的总数： (  )，其中：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晋级省赛的常规赛团队总数：（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晋级省赛的乡村振兴实战赛团队总数：（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晋级省赛的产学用（BUC）实战赛团队总数：（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晋级省赛的商务大数据分析实战赛团队总数：（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晋级省赛的跨境电商实战赛团队总数：（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晋级省赛的直播电商实战赛团队总数：（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（3）晋级省赛的比例：（  )，其中：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晋级省赛的常规赛团队比例：（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晋级省赛的乡村振兴实战赛团队比例：（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晋级省赛的产学用（BUC）实战赛团队比例：（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晋级省赛的商务大数据分析实战赛团队比例：(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晋级省赛的跨境电商实战赛团队比例：(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晋级省赛的直播电商实战赛团队比例：(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1" w:lineRule="auto"/>
        <w:ind w:left="45"/>
        <w:textAlignment w:val="baseline"/>
        <w:outlineLvl w:val="0"/>
        <w:rPr>
          <w:rFonts w:ascii="宋体" w:hAnsi="宋体" w:eastAsia="宋体" w:cs="宋体"/>
          <w:spacing w:val="4"/>
          <w:sz w:val="28"/>
          <w:szCs w:val="28"/>
          <w14:textOutline w14:w="5451" w14:cap="flat" w14:cmpd="sng">
            <w14:solidFill>
              <w14:srgbClr w14:val="000000"/>
            </w14:solidFill>
            <w14:prstDash w14:val="solid"/>
            <w14:miter w14:val="0"/>
          </w14:textOutline>
        </w:rPr>
      </w:pPr>
      <w:r>
        <w:rPr>
          <w:rFonts w:ascii="宋体" w:hAnsi="宋体" w:eastAsia="宋体" w:cs="宋体"/>
          <w:spacing w:val="4"/>
          <w:sz w:val="28"/>
          <w:szCs w:val="28"/>
          <w14:textOutline w14:w="5451" w14:cap="flat" w14:cmpd="sng">
            <w14:solidFill>
              <w14:srgbClr w14:val="000000"/>
            </w14:solidFill>
            <w14:prstDash w14:val="solid"/>
            <w14:miter w14:val="0"/>
          </w14:textOutline>
        </w:rPr>
        <w:t>三、评审专家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32" w:firstLineChars="200"/>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1.评审专家设置</w:t>
      </w:r>
    </w:p>
    <w:p>
      <w:pPr>
        <w:spacing w:line="130" w:lineRule="exact"/>
      </w:pPr>
    </w:p>
    <w:tbl>
      <w:tblPr>
        <w:tblStyle w:val="5"/>
        <w:tblW w:w="7104"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854"/>
        <w:gridCol w:w="1409"/>
        <w:gridCol w:w="3559"/>
      </w:tblGrid>
      <w:tr>
        <w:tblPrEx>
          <w:tblLayout w:type="fixed"/>
        </w:tblPrEx>
        <w:trPr>
          <w:trHeight w:val="332" w:hRule="atLeast"/>
        </w:trPr>
        <w:tc>
          <w:tcPr>
            <w:tcW w:w="2136" w:type="dxa"/>
            <w:gridSpan w:val="2"/>
            <w:tcBorders>
              <w:top w:val="single" w:color="000000" w:sz="2" w:space="0"/>
              <w:bottom w:val="single" w:color="000000" w:sz="2" w:space="0"/>
            </w:tcBorders>
            <w:vAlign w:val="top"/>
          </w:tcPr>
          <w:p>
            <w:pPr>
              <w:spacing w:before="44" w:line="215" w:lineRule="auto"/>
              <w:ind w:left="596"/>
              <w:rPr>
                <w:rFonts w:ascii="楷体" w:hAnsi="楷体" w:eastAsia="楷体" w:cs="楷体"/>
                <w:sz w:val="24"/>
                <w:szCs w:val="24"/>
              </w:rPr>
            </w:pPr>
            <w:r>
              <w:rPr>
                <w:rFonts w:ascii="楷体" w:hAnsi="楷体" w:eastAsia="楷体" w:cs="楷体"/>
                <w:spacing w:val="-2"/>
                <w:sz w:val="24"/>
                <w:szCs w:val="24"/>
              </w:rPr>
              <w:t>评审小组</w:t>
            </w:r>
          </w:p>
        </w:tc>
        <w:tc>
          <w:tcPr>
            <w:tcW w:w="1409" w:type="dxa"/>
            <w:tcBorders>
              <w:top w:val="single" w:color="000000" w:sz="2" w:space="0"/>
              <w:bottom w:val="single" w:color="000000" w:sz="2" w:space="0"/>
            </w:tcBorders>
            <w:vAlign w:val="top"/>
          </w:tcPr>
          <w:p>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59" w:type="dxa"/>
            <w:tcBorders>
              <w:top w:val="single" w:color="000000" w:sz="2" w:space="0"/>
              <w:bottom w:val="single" w:color="000000" w:sz="2" w:space="0"/>
            </w:tcBorders>
            <w:vAlign w:val="top"/>
          </w:tcPr>
          <w:p>
            <w:pPr>
              <w:spacing w:before="44" w:line="217" w:lineRule="auto"/>
              <w:ind w:left="1200"/>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tblPrEx>
          <w:tblLayout w:type="fixed"/>
        </w:tblPrEx>
        <w:trPr>
          <w:trHeight w:val="310" w:hRule="atLeast"/>
        </w:trPr>
        <w:tc>
          <w:tcPr>
            <w:tcW w:w="1282" w:type="dxa"/>
            <w:vMerge w:val="restart"/>
            <w:tcBorders>
              <w:top w:val="single" w:color="000000" w:sz="2" w:space="0"/>
              <w:bottom w:val="nil"/>
            </w:tcBorders>
            <w:vAlign w:val="top"/>
          </w:tcPr>
          <w:p>
            <w:pPr>
              <w:spacing w:line="272" w:lineRule="auto"/>
              <w:rPr>
                <w:rFonts w:ascii="Arial"/>
                <w:sz w:val="21"/>
              </w:rPr>
            </w:pPr>
          </w:p>
          <w:p>
            <w:pPr>
              <w:spacing w:before="78" w:line="224" w:lineRule="auto"/>
              <w:ind w:left="304"/>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nil"/>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6"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restart"/>
            <w:tcBorders>
              <w:top w:val="single" w:color="000000" w:sz="2" w:space="0"/>
              <w:bottom w:val="nil"/>
            </w:tcBorders>
            <w:vAlign w:val="top"/>
          </w:tcPr>
          <w:p>
            <w:pPr>
              <w:spacing w:line="273" w:lineRule="auto"/>
              <w:rPr>
                <w:rFonts w:ascii="Arial"/>
                <w:sz w:val="21"/>
              </w:rPr>
            </w:pPr>
          </w:p>
          <w:p>
            <w:pPr>
              <w:spacing w:before="78" w:line="216" w:lineRule="auto"/>
              <w:ind w:left="298"/>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pPr>
              <w:spacing w:before="37"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continue"/>
            <w:tcBorders>
              <w:top w:val="nil"/>
              <w:bottom w:val="nil"/>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restart"/>
            <w:tcBorders>
              <w:top w:val="single" w:color="000000" w:sz="2" w:space="0"/>
              <w:bottom w:val="nil"/>
            </w:tcBorders>
            <w:vAlign w:val="top"/>
          </w:tcPr>
          <w:p>
            <w:pPr>
              <w:spacing w:line="293" w:lineRule="auto"/>
              <w:rPr>
                <w:rFonts w:ascii="Arial"/>
                <w:sz w:val="21"/>
              </w:rPr>
            </w:pPr>
          </w:p>
          <w:p>
            <w:pPr>
              <w:spacing w:line="294" w:lineRule="auto"/>
              <w:rPr>
                <w:rFonts w:ascii="Arial"/>
                <w:sz w:val="21"/>
              </w:rPr>
            </w:pPr>
          </w:p>
          <w:p>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line="438" w:lineRule="auto"/>
              <w:rPr>
                <w:rFonts w:ascii="Arial"/>
                <w:sz w:val="21"/>
              </w:rPr>
            </w:pPr>
          </w:p>
          <w:p>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restart"/>
            <w:tcBorders>
              <w:top w:val="single" w:color="000000" w:sz="2" w:space="0"/>
              <w:bottom w:val="nil"/>
            </w:tcBorders>
            <w:vAlign w:val="top"/>
          </w:tcPr>
          <w:p>
            <w:pPr>
              <w:spacing w:line="294" w:lineRule="auto"/>
              <w:rPr>
                <w:rFonts w:ascii="Arial"/>
                <w:sz w:val="21"/>
              </w:rPr>
            </w:pPr>
          </w:p>
          <w:p>
            <w:pPr>
              <w:spacing w:line="294" w:lineRule="auto"/>
              <w:rPr>
                <w:rFonts w:ascii="Arial"/>
                <w:sz w:val="21"/>
              </w:rPr>
            </w:pPr>
          </w:p>
          <w:p>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pPr>
              <w:spacing w:before="25"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line="439" w:lineRule="auto"/>
              <w:rPr>
                <w:rFonts w:ascii="Arial"/>
                <w:sz w:val="21"/>
              </w:rPr>
            </w:pPr>
          </w:p>
          <w:p>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0"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Layout w:type="fixed"/>
        </w:tblPrEx>
        <w:trPr>
          <w:trHeight w:val="317" w:hRule="atLeast"/>
        </w:trPr>
        <w:tc>
          <w:tcPr>
            <w:tcW w:w="1282"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bl>
    <w:p>
      <w:pPr>
        <w:spacing w:before="1" w:line="219" w:lineRule="auto"/>
        <w:ind w:left="461"/>
        <w:rPr>
          <w:rFonts w:ascii="宋体" w:hAnsi="宋体" w:eastAsia="宋体" w:cs="宋体"/>
          <w:spacing w:val="2"/>
          <w:sz w:val="24"/>
          <w:szCs w:val="24"/>
        </w:rPr>
      </w:pPr>
    </w:p>
    <w:p>
      <w:pPr>
        <w:spacing w:before="1" w:line="219" w:lineRule="auto"/>
        <w:ind w:left="461"/>
        <w:rPr>
          <w:rFonts w:ascii="宋体" w:hAnsi="宋体" w:eastAsia="宋体" w:cs="宋体"/>
          <w:spacing w:val="2"/>
          <w:sz w:val="24"/>
          <w:szCs w:val="24"/>
        </w:rPr>
      </w:pPr>
    </w:p>
    <w:p>
      <w:pPr>
        <w:spacing w:before="1" w:line="219" w:lineRule="auto"/>
        <w:ind w:left="461"/>
        <w:rPr>
          <w:rFonts w:ascii="宋体" w:hAnsi="宋体" w:eastAsia="宋体" w:cs="宋体"/>
          <w:spacing w:val="2"/>
          <w:sz w:val="24"/>
          <w:szCs w:val="24"/>
        </w:rPr>
      </w:pPr>
      <w:r>
        <w:rPr>
          <w:rFonts w:ascii="宋体" w:hAnsi="宋体" w:eastAsia="宋体" w:cs="宋体"/>
          <w:spacing w:val="2"/>
          <w:sz w:val="24"/>
          <w:szCs w:val="24"/>
        </w:rPr>
        <w:t>2.可以设法务顾问和专家巡视员，以便为仲裁提供信息。</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1" w:lineRule="auto"/>
        <w:ind w:left="45"/>
        <w:textAlignment w:val="baseline"/>
        <w:outlineLvl w:val="0"/>
        <w:rPr>
          <w:rFonts w:ascii="宋体" w:hAnsi="宋体" w:eastAsia="宋体" w:cs="宋体"/>
          <w:spacing w:val="4"/>
          <w:sz w:val="28"/>
          <w:szCs w:val="28"/>
          <w14:textOutline w14:w="5451" w14:cap="flat" w14:cmpd="sng">
            <w14:solidFill>
              <w14:srgbClr w14:val="000000"/>
            </w14:solidFill>
            <w14:prstDash w14:val="solid"/>
            <w14:miter w14:val="0"/>
          </w14:textOutline>
        </w:rPr>
      </w:pPr>
      <w:r>
        <w:rPr>
          <w:rFonts w:ascii="宋体" w:hAnsi="宋体" w:eastAsia="宋体" w:cs="宋体"/>
          <w:spacing w:val="4"/>
          <w:sz w:val="28"/>
          <w:szCs w:val="28"/>
          <w14:textOutline w14:w="5451" w14:cap="flat" w14:cmpd="sng">
            <w14:solidFill>
              <w14:srgbClr w14:val="000000"/>
            </w14:solidFill>
            <w14:prstDash w14:val="solid"/>
            <w14:miter w14:val="0"/>
          </w14:textOutline>
        </w:rPr>
        <w:t>四、**省级赛竞赛组织委员会联系方式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1.负责人姓名：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2.管理员姓名：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电话：                电子邮箱：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电话：                电子邮箱：</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1" w:lineRule="auto"/>
        <w:ind w:left="45"/>
        <w:textAlignment w:val="baseline"/>
        <w:outlineLvl w:val="0"/>
        <w:rPr>
          <w:rFonts w:hint="eastAsia" w:ascii="宋体" w:hAnsi="宋体" w:eastAsia="宋体" w:cs="宋体"/>
          <w:spacing w:val="4"/>
          <w:sz w:val="28"/>
          <w:szCs w:val="28"/>
          <w:lang w:val="en-US" w:eastAsia="zh-CN"/>
          <w14:textOutline w14:w="5451" w14:cap="flat" w14:cmpd="sng">
            <w14:solidFill>
              <w14:srgbClr w14:val="000000"/>
            </w14:solidFill>
            <w14:prstDash w14:val="solid"/>
            <w14:miter w14:val="0"/>
          </w14:textOutline>
        </w:rPr>
      </w:pPr>
      <w:r>
        <w:rPr>
          <w:rFonts w:hint="eastAsia" w:ascii="宋体" w:hAnsi="宋体" w:eastAsia="宋体" w:cs="宋体"/>
          <w:spacing w:val="4"/>
          <w:sz w:val="28"/>
          <w:szCs w:val="28"/>
          <w:lang w:val="en-US" w:eastAsia="zh-CN"/>
          <w14:textOutline w14:w="5451" w14:cap="flat" w14:cmpd="sng">
            <w14:solidFill>
              <w14:srgbClr w14:val="000000"/>
            </w14:solidFill>
            <w14:prstDash w14:val="solid"/>
            <w14:miter w14:val="0"/>
          </w14:textOutline>
        </w:rPr>
        <w:t>五、晋级本省级赛的团队请填写：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**省级赛晋级团队统计表（按校填写，在官网下载）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注：为保障省赛顺利进行，请务必准确填写所有信息。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2"/>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7" w:firstLineChars="212"/>
        <w:jc w:val="right"/>
        <w:textAlignment w:val="baseline"/>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**赛区省级选拔赛竞赛组织委员会</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firstLine="457" w:firstLineChars="212"/>
        <w:jc w:val="right"/>
        <w:textAlignment w:val="baseline"/>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2024年   月   日     </w:t>
      </w:r>
    </w:p>
    <w:sectPr>
      <w:headerReference r:id="rId3" w:type="default"/>
      <w:type w:val="continuous"/>
      <w:pgSz w:w="11910" w:h="16845"/>
      <w:pgMar w:top="1440" w:right="1800" w:bottom="1440" w:left="1800" w:header="910" w:footer="0" w:gutter="0"/>
      <w:cols w:equalWidth="0" w:num="1">
        <w:col w:w="83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86"/>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Kingsoft Sign">
    <w:panose1 w:val="05050102010706020507"/>
    <w:charset w:val="00"/>
    <w:family w:val="auto"/>
    <w:pitch w:val="default"/>
    <w:sig w:usb0="00000000" w:usb1="00000000" w:usb2="00000000" w:usb3="00000000" w:csb0="00000001" w:csb1="00000000"/>
  </w:font>
  <w:font w:name="宋体-简">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0" w:lineRule="auto"/>
      <w:ind w:left="0"/>
      <w:rPr>
        <w:rFonts w:ascii="微软雅黑" w:hAnsi="微软雅黑" w:eastAsia="微软雅黑" w:cs="微软雅黑"/>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1410</Words>
  <Characters>1464</Characters>
  <Lines>0</Lines>
  <Paragraphs>0</Paragraphs>
  <ScaleCrop>false</ScaleCrop>
  <LinksUpToDate>false</LinksUpToDate>
  <CharactersWithSpaces>1596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2023-09-06T03:20:00Z</dcterms:created>
  <dc:creator>92850</dc:creator>
  <cp:lastModifiedBy>iPhone</cp:lastModifiedBy>
  <dcterms:modified xsi:type="dcterms:W3CDTF">2024-05-20T23:29:46Z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2023-09-04T11:24:00Z</vt:filetime>
  </property>
  <property fmtid="{D5CDD505-2E9C-101B-9397-08002B2CF9AE}" pid="4" name="KSOProductBuildVer">
    <vt:lpwstr>2052-12.12.1</vt:lpwstr>
  </property>
  <property fmtid="{D5CDD505-2E9C-101B-9397-08002B2CF9AE}" pid="5" name="ICV">
    <vt:lpwstr>7F4A84BDAA004DCDB074CC46E32C508F_13</vt:lpwstr>
  </property>
</Properties>
</file>